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CBF" w:rsidRPr="00FE29AA" w:rsidRDefault="00F77514" w:rsidP="00B05260">
      <w:pPr>
        <w:jc w:val="center"/>
        <w:rPr>
          <w:b/>
          <w:color w:val="7030A0"/>
          <w:sz w:val="28"/>
          <w:szCs w:val="28"/>
          <w:u w:val="single"/>
        </w:rPr>
      </w:pPr>
      <w:r>
        <w:rPr>
          <w:b/>
          <w:noProof/>
          <w:color w:val="7030A0"/>
          <w:sz w:val="28"/>
          <w:szCs w:val="28"/>
          <w:u w:val="single"/>
          <w:lang w:eastAsia="en-GB"/>
        </w:rPr>
        <w:pict>
          <v:rect id="_x0000_s1026" style="position:absolute;left:0;text-align:left;margin-left:-8.25pt;margin-top:21.75pt;width:469.5pt;height:247.5pt;z-index:-251658240" strokeweight="3pt"/>
        </w:pict>
      </w:r>
      <w:r w:rsidR="00B05260" w:rsidRPr="00FE29AA">
        <w:rPr>
          <w:b/>
          <w:color w:val="7030A0"/>
          <w:sz w:val="28"/>
          <w:szCs w:val="28"/>
          <w:u w:val="single"/>
        </w:rPr>
        <w:t>Service-Level Agreement</w:t>
      </w:r>
    </w:p>
    <w:p w:rsidR="00B05260" w:rsidRPr="00FE29AA" w:rsidRDefault="00F77514" w:rsidP="00B05260">
      <w:pPr>
        <w:jc w:val="center"/>
        <w:rPr>
          <w:b/>
          <w:color w:val="000000" w:themeColor="text1"/>
          <w:sz w:val="20"/>
          <w:szCs w:val="20"/>
        </w:rPr>
      </w:pPr>
      <w:r>
        <w:rPr>
          <w:b/>
          <w:noProof/>
          <w:color w:val="000000" w:themeColor="text1"/>
          <w:sz w:val="20"/>
          <w:szCs w:val="20"/>
          <w:lang w:eastAsia="en-GB"/>
        </w:rPr>
        <w:pict>
          <v:shapetype id="_x0000_t32" coordsize="21600,21600" o:spt="32" o:oned="t" path="m,l21600,21600e" filled="f">
            <v:path arrowok="t" fillok="f" o:connecttype="none"/>
            <o:lock v:ext="edit" shapetype="t"/>
          </v:shapetype>
          <v:shape id="_x0000_s1027" type="#_x0000_t32" style="position:absolute;left:0;text-align:left;margin-left:-8.25pt;margin-top:31.1pt;width:469.5pt;height:.05pt;z-index:251659264" o:connectortype="straight"/>
        </w:pict>
      </w:r>
      <w:r w:rsidR="00B05260" w:rsidRPr="00FE29AA">
        <w:rPr>
          <w:b/>
          <w:color w:val="000000" w:themeColor="text1"/>
          <w:sz w:val="20"/>
          <w:szCs w:val="20"/>
        </w:rPr>
        <w:t xml:space="preserve">Service-Level Agreement for the Referral of Patients to </w:t>
      </w:r>
      <w:r w:rsidR="00B05260" w:rsidRPr="007730FC">
        <w:rPr>
          <w:b/>
          <w:color w:val="000000" w:themeColor="text1"/>
        </w:rPr>
        <w:t>Cygnet House Dental Studio</w:t>
      </w:r>
      <w:r w:rsidR="00B05260" w:rsidRPr="00FE29AA">
        <w:rPr>
          <w:b/>
          <w:color w:val="000000" w:themeColor="text1"/>
          <w:sz w:val="20"/>
          <w:szCs w:val="20"/>
        </w:rPr>
        <w:t xml:space="preserve"> for Dental Cone Beam CT Examinations</w:t>
      </w:r>
    </w:p>
    <w:p w:rsidR="00B05260" w:rsidRPr="00414890" w:rsidRDefault="00B05260" w:rsidP="00B05260">
      <w:pPr>
        <w:rPr>
          <w:color w:val="000000" w:themeColor="text1"/>
          <w:sz w:val="20"/>
          <w:szCs w:val="20"/>
        </w:rPr>
      </w:pPr>
      <w:r w:rsidRPr="00414890">
        <w:rPr>
          <w:color w:val="000000" w:themeColor="text1"/>
          <w:sz w:val="20"/>
          <w:szCs w:val="20"/>
        </w:rPr>
        <w:t>Address of CBCT practice:</w:t>
      </w:r>
      <w:r w:rsidRPr="00414890">
        <w:rPr>
          <w:color w:val="000000" w:themeColor="text1"/>
          <w:sz w:val="20"/>
          <w:szCs w:val="20"/>
        </w:rPr>
        <w:tab/>
      </w:r>
      <w:r w:rsidRPr="00414890">
        <w:rPr>
          <w:color w:val="000000" w:themeColor="text1"/>
          <w:sz w:val="20"/>
          <w:szCs w:val="20"/>
        </w:rPr>
        <w:tab/>
      </w:r>
      <w:r w:rsidRPr="00414890">
        <w:rPr>
          <w:color w:val="000000" w:themeColor="text1"/>
          <w:sz w:val="20"/>
          <w:szCs w:val="20"/>
        </w:rPr>
        <w:tab/>
      </w:r>
      <w:r w:rsidR="00FE29AA">
        <w:rPr>
          <w:color w:val="000000" w:themeColor="text1"/>
          <w:sz w:val="20"/>
          <w:szCs w:val="20"/>
        </w:rPr>
        <w:tab/>
      </w:r>
      <w:r w:rsidR="00876364">
        <w:rPr>
          <w:color w:val="000000" w:themeColor="text1"/>
          <w:sz w:val="20"/>
          <w:szCs w:val="20"/>
        </w:rPr>
        <w:t xml:space="preserve">               </w:t>
      </w:r>
      <w:r w:rsidRPr="00414890">
        <w:rPr>
          <w:color w:val="000000" w:themeColor="text1"/>
          <w:sz w:val="20"/>
          <w:szCs w:val="20"/>
        </w:rPr>
        <w:t>Address of referring practice:</w:t>
      </w:r>
    </w:p>
    <w:p w:rsidR="00876364" w:rsidRPr="00414890" w:rsidRDefault="00876364" w:rsidP="00B05260">
      <w:pPr>
        <w:rPr>
          <w:color w:val="000000" w:themeColor="text1"/>
          <w:sz w:val="20"/>
          <w:szCs w:val="20"/>
        </w:rPr>
      </w:pPr>
      <w:r>
        <w:rPr>
          <w:color w:val="000000" w:themeColor="text1"/>
          <w:sz w:val="20"/>
          <w:szCs w:val="20"/>
        </w:rPr>
        <w:t xml:space="preserve">Grace Swan Close, </w:t>
      </w:r>
      <w:proofErr w:type="spellStart"/>
      <w:r>
        <w:rPr>
          <w:color w:val="000000" w:themeColor="text1"/>
          <w:sz w:val="20"/>
          <w:szCs w:val="20"/>
        </w:rPr>
        <w:t>Hundleby</w:t>
      </w:r>
      <w:proofErr w:type="spellEnd"/>
      <w:r>
        <w:rPr>
          <w:color w:val="000000" w:themeColor="text1"/>
          <w:sz w:val="20"/>
          <w:szCs w:val="20"/>
        </w:rPr>
        <w:t xml:space="preserve">, </w:t>
      </w:r>
      <w:proofErr w:type="spellStart"/>
      <w:r>
        <w:rPr>
          <w:color w:val="000000" w:themeColor="text1"/>
          <w:sz w:val="20"/>
          <w:szCs w:val="20"/>
        </w:rPr>
        <w:t>Spilsby</w:t>
      </w:r>
      <w:proofErr w:type="spellEnd"/>
      <w:r>
        <w:rPr>
          <w:color w:val="000000" w:themeColor="text1"/>
          <w:sz w:val="20"/>
          <w:szCs w:val="20"/>
        </w:rPr>
        <w:t xml:space="preserve"> </w:t>
      </w:r>
      <w:proofErr w:type="spellStart"/>
      <w:r>
        <w:rPr>
          <w:color w:val="000000" w:themeColor="text1"/>
          <w:sz w:val="20"/>
          <w:szCs w:val="20"/>
        </w:rPr>
        <w:t>Lincs</w:t>
      </w:r>
      <w:proofErr w:type="spellEnd"/>
      <w:r>
        <w:rPr>
          <w:color w:val="000000" w:themeColor="text1"/>
          <w:sz w:val="20"/>
          <w:szCs w:val="20"/>
        </w:rPr>
        <w:t>, PE23 5LT</w:t>
      </w:r>
    </w:p>
    <w:p w:rsidR="00B05260" w:rsidRPr="00414890" w:rsidRDefault="00B05260" w:rsidP="00B05260">
      <w:pPr>
        <w:rPr>
          <w:color w:val="000000" w:themeColor="text1"/>
          <w:sz w:val="20"/>
          <w:szCs w:val="20"/>
        </w:rPr>
      </w:pPr>
      <w:r w:rsidRPr="00414890">
        <w:rPr>
          <w:color w:val="000000" w:themeColor="text1"/>
          <w:sz w:val="20"/>
          <w:szCs w:val="20"/>
        </w:rPr>
        <w:t>Tel:</w:t>
      </w:r>
      <w:r w:rsidRPr="00414890">
        <w:rPr>
          <w:color w:val="000000" w:themeColor="text1"/>
          <w:sz w:val="20"/>
          <w:szCs w:val="20"/>
        </w:rPr>
        <w:tab/>
      </w:r>
      <w:r w:rsidR="00876364">
        <w:rPr>
          <w:color w:val="000000" w:themeColor="text1"/>
          <w:sz w:val="20"/>
          <w:szCs w:val="20"/>
        </w:rPr>
        <w:t>01790 755312</w:t>
      </w:r>
      <w:r w:rsidRPr="00414890">
        <w:rPr>
          <w:color w:val="000000" w:themeColor="text1"/>
          <w:sz w:val="20"/>
          <w:szCs w:val="20"/>
        </w:rPr>
        <w:tab/>
      </w:r>
      <w:r w:rsidRPr="00414890">
        <w:rPr>
          <w:color w:val="000000" w:themeColor="text1"/>
          <w:sz w:val="20"/>
          <w:szCs w:val="20"/>
        </w:rPr>
        <w:tab/>
      </w:r>
      <w:r w:rsidRPr="00414890">
        <w:rPr>
          <w:color w:val="000000" w:themeColor="text1"/>
          <w:sz w:val="20"/>
          <w:szCs w:val="20"/>
        </w:rPr>
        <w:tab/>
      </w:r>
      <w:r w:rsidRPr="00414890">
        <w:rPr>
          <w:color w:val="000000" w:themeColor="text1"/>
          <w:sz w:val="20"/>
          <w:szCs w:val="20"/>
        </w:rPr>
        <w:tab/>
      </w:r>
      <w:r w:rsidRPr="00414890">
        <w:rPr>
          <w:color w:val="000000" w:themeColor="text1"/>
          <w:sz w:val="20"/>
          <w:szCs w:val="20"/>
        </w:rPr>
        <w:tab/>
        <w:t>Tel:</w:t>
      </w:r>
    </w:p>
    <w:p w:rsidR="00B05260" w:rsidRPr="00414890" w:rsidRDefault="00B05260" w:rsidP="00B05260">
      <w:pPr>
        <w:rPr>
          <w:color w:val="000000" w:themeColor="text1"/>
          <w:sz w:val="20"/>
          <w:szCs w:val="20"/>
        </w:rPr>
      </w:pPr>
      <w:r w:rsidRPr="00414890">
        <w:rPr>
          <w:color w:val="000000" w:themeColor="text1"/>
          <w:sz w:val="20"/>
          <w:szCs w:val="20"/>
        </w:rPr>
        <w:t>Email:</w:t>
      </w:r>
      <w:r w:rsidRPr="00414890">
        <w:rPr>
          <w:color w:val="000000" w:themeColor="text1"/>
          <w:sz w:val="20"/>
          <w:szCs w:val="20"/>
        </w:rPr>
        <w:tab/>
      </w:r>
      <w:r w:rsidR="00876364">
        <w:rPr>
          <w:color w:val="000000" w:themeColor="text1"/>
          <w:sz w:val="20"/>
          <w:szCs w:val="20"/>
        </w:rPr>
        <w:t>cygnethousedentalstudio@hotmail.co.uk</w:t>
      </w:r>
      <w:r w:rsidRPr="00414890">
        <w:rPr>
          <w:color w:val="000000" w:themeColor="text1"/>
          <w:sz w:val="20"/>
          <w:szCs w:val="20"/>
        </w:rPr>
        <w:tab/>
      </w:r>
      <w:r w:rsidRPr="00414890">
        <w:rPr>
          <w:color w:val="000000" w:themeColor="text1"/>
          <w:sz w:val="20"/>
          <w:szCs w:val="20"/>
        </w:rPr>
        <w:tab/>
        <w:t>Email:</w:t>
      </w:r>
    </w:p>
    <w:p w:rsidR="00B05260" w:rsidRPr="00414890" w:rsidRDefault="00F77514" w:rsidP="00B05260">
      <w:pPr>
        <w:rPr>
          <w:color w:val="000000" w:themeColor="text1"/>
          <w:sz w:val="20"/>
          <w:szCs w:val="20"/>
        </w:rPr>
      </w:pPr>
      <w:r>
        <w:rPr>
          <w:noProof/>
          <w:color w:val="000000" w:themeColor="text1"/>
          <w:sz w:val="20"/>
          <w:szCs w:val="20"/>
          <w:lang w:eastAsia="en-GB"/>
        </w:rPr>
        <w:pict>
          <v:shape id="_x0000_s1031" type="#_x0000_t32" style="position:absolute;margin-left:-8.25pt;margin-top:16.1pt;width:469.5pt;height:.75pt;z-index:251662336" o:connectortype="straight"/>
        </w:pict>
      </w:r>
      <w:r w:rsidR="00B05260" w:rsidRPr="00414890">
        <w:rPr>
          <w:color w:val="000000" w:themeColor="text1"/>
          <w:sz w:val="20"/>
          <w:szCs w:val="20"/>
        </w:rPr>
        <w:t>Name of legal person:*:</w:t>
      </w:r>
      <w:r w:rsidR="00B05260" w:rsidRPr="00414890">
        <w:rPr>
          <w:color w:val="000000" w:themeColor="text1"/>
          <w:sz w:val="20"/>
          <w:szCs w:val="20"/>
        </w:rPr>
        <w:tab/>
      </w:r>
      <w:r w:rsidR="00876364">
        <w:rPr>
          <w:color w:val="000000" w:themeColor="text1"/>
          <w:sz w:val="20"/>
          <w:szCs w:val="20"/>
        </w:rPr>
        <w:t>Dr Mitchell Clark</w:t>
      </w:r>
      <w:r w:rsidR="00B05260" w:rsidRPr="00414890">
        <w:rPr>
          <w:color w:val="000000" w:themeColor="text1"/>
          <w:sz w:val="20"/>
          <w:szCs w:val="20"/>
        </w:rPr>
        <w:tab/>
      </w:r>
      <w:r w:rsidR="00B05260" w:rsidRPr="00414890">
        <w:rPr>
          <w:color w:val="000000" w:themeColor="text1"/>
          <w:sz w:val="20"/>
          <w:szCs w:val="20"/>
        </w:rPr>
        <w:tab/>
      </w:r>
      <w:r w:rsidR="00B05260" w:rsidRPr="00414890">
        <w:rPr>
          <w:color w:val="000000" w:themeColor="text1"/>
          <w:sz w:val="20"/>
          <w:szCs w:val="20"/>
        </w:rPr>
        <w:tab/>
        <w:t>Name of legal person:*:</w:t>
      </w:r>
    </w:p>
    <w:p w:rsidR="00B05260" w:rsidRPr="00AC0CCB" w:rsidRDefault="00B05260" w:rsidP="00A670D6">
      <w:pPr>
        <w:spacing w:after="0"/>
        <w:rPr>
          <w:b/>
          <w:color w:val="000000" w:themeColor="text1"/>
          <w:sz w:val="20"/>
          <w:szCs w:val="20"/>
        </w:rPr>
      </w:pPr>
      <w:r w:rsidRPr="00AC0CCB">
        <w:rPr>
          <w:b/>
          <w:color w:val="000000" w:themeColor="text1"/>
          <w:sz w:val="20"/>
          <w:szCs w:val="20"/>
        </w:rPr>
        <w:t>Referral criteria for the dental CBCT:</w:t>
      </w:r>
    </w:p>
    <w:p w:rsidR="00B05260" w:rsidRPr="00414890" w:rsidRDefault="00B05260" w:rsidP="00A670D6">
      <w:pPr>
        <w:spacing w:after="0"/>
        <w:rPr>
          <w:color w:val="000000" w:themeColor="text1"/>
          <w:sz w:val="20"/>
          <w:szCs w:val="20"/>
        </w:rPr>
      </w:pPr>
      <w:r w:rsidRPr="00414890">
        <w:rPr>
          <w:color w:val="000000" w:themeColor="text1"/>
          <w:sz w:val="20"/>
          <w:szCs w:val="20"/>
        </w:rPr>
        <w:t>The document specified below will be used by both parties as the basis for the referral of patients and the justification/authorisation of dental CBCT examinations:</w:t>
      </w:r>
    </w:p>
    <w:p w:rsidR="00B05260" w:rsidRPr="00414890" w:rsidRDefault="00B05260" w:rsidP="00A670D6">
      <w:pPr>
        <w:spacing w:after="0"/>
        <w:rPr>
          <w:color w:val="000000" w:themeColor="text1"/>
          <w:sz w:val="20"/>
          <w:szCs w:val="20"/>
        </w:rPr>
      </w:pPr>
      <w:r w:rsidRPr="00414890">
        <w:rPr>
          <w:color w:val="000000" w:themeColor="text1"/>
          <w:sz w:val="20"/>
          <w:szCs w:val="20"/>
        </w:rPr>
        <w:t xml:space="preserve">Name of document: SEDENTEXCT </w:t>
      </w:r>
      <w:r w:rsidR="002A58EF">
        <w:rPr>
          <w:color w:val="000000" w:themeColor="text1"/>
          <w:sz w:val="20"/>
          <w:szCs w:val="20"/>
        </w:rPr>
        <w:t>final guidelines, March 2011, Chapter 4</w:t>
      </w:r>
    </w:p>
    <w:p w:rsidR="00A670D6" w:rsidRDefault="00F77514" w:rsidP="00A670D6">
      <w:pPr>
        <w:spacing w:after="0"/>
        <w:rPr>
          <w:color w:val="000000" w:themeColor="text1"/>
          <w:sz w:val="18"/>
          <w:szCs w:val="18"/>
        </w:rPr>
      </w:pPr>
      <w:r w:rsidRPr="00F77514">
        <w:rPr>
          <w:noProof/>
          <w:color w:val="000000" w:themeColor="text1"/>
          <w:sz w:val="20"/>
          <w:szCs w:val="20"/>
          <w:lang w:eastAsia="en-GB"/>
        </w:rPr>
        <w:pict>
          <v:rect id="_x0000_s1028" style="position:absolute;margin-left:-8.25pt;margin-top:5.2pt;width:469.5pt;height:215pt;z-index:-251656192" strokeweight="3pt"/>
        </w:pict>
      </w:r>
    </w:p>
    <w:p w:rsidR="00B05260" w:rsidRPr="00AC0CCB" w:rsidRDefault="00B05260" w:rsidP="00A670D6">
      <w:pPr>
        <w:spacing w:after="0"/>
        <w:rPr>
          <w:b/>
          <w:color w:val="000000" w:themeColor="text1"/>
          <w:sz w:val="20"/>
          <w:szCs w:val="20"/>
        </w:rPr>
      </w:pPr>
      <w:r w:rsidRPr="00AC0CCB">
        <w:rPr>
          <w:b/>
          <w:color w:val="000000" w:themeColor="text1"/>
          <w:sz w:val="20"/>
          <w:szCs w:val="20"/>
        </w:rPr>
        <w:t>Entitlement of persons</w:t>
      </w:r>
    </w:p>
    <w:p w:rsidR="00B05260" w:rsidRPr="00FE29AA" w:rsidRDefault="00B05260" w:rsidP="00B05260">
      <w:pPr>
        <w:rPr>
          <w:color w:val="000000" w:themeColor="text1"/>
          <w:sz w:val="18"/>
          <w:szCs w:val="18"/>
        </w:rPr>
      </w:pPr>
      <w:r w:rsidRPr="00FE29AA">
        <w:rPr>
          <w:color w:val="000000" w:themeColor="text1"/>
          <w:sz w:val="18"/>
          <w:szCs w:val="18"/>
        </w:rPr>
        <w:t>Enter below details of all persons at referring practice who will refer patients for dental CBCT examinations and/or report on dental CBCT images. Evidence of training meeting the requirements of the HPA/BSDMFR Core Curriculum in Dental CBCT must be provided.</w:t>
      </w:r>
    </w:p>
    <w:tbl>
      <w:tblPr>
        <w:tblStyle w:val="TableGrid"/>
        <w:tblW w:w="9356" w:type="dxa"/>
        <w:tblInd w:w="-34" w:type="dxa"/>
        <w:tblLook w:val="04A0"/>
      </w:tblPr>
      <w:tblGrid>
        <w:gridCol w:w="1566"/>
        <w:gridCol w:w="1587"/>
        <w:gridCol w:w="862"/>
        <w:gridCol w:w="1024"/>
        <w:gridCol w:w="2147"/>
        <w:gridCol w:w="2170"/>
      </w:tblGrid>
      <w:tr w:rsidR="00072750" w:rsidTr="005B09D2">
        <w:trPr>
          <w:trHeight w:val="422"/>
        </w:trPr>
        <w:tc>
          <w:tcPr>
            <w:tcW w:w="5039" w:type="dxa"/>
            <w:gridSpan w:val="4"/>
          </w:tcPr>
          <w:p w:rsidR="00072750" w:rsidRPr="00FE29AA" w:rsidRDefault="00072750" w:rsidP="00B05260">
            <w:pPr>
              <w:rPr>
                <w:color w:val="000000" w:themeColor="text1"/>
                <w:sz w:val="18"/>
                <w:szCs w:val="18"/>
              </w:rPr>
            </w:pPr>
          </w:p>
          <w:p w:rsidR="00414890" w:rsidRPr="00FE29AA" w:rsidRDefault="00414890" w:rsidP="00FE29AA">
            <w:pPr>
              <w:rPr>
                <w:color w:val="000000" w:themeColor="text1"/>
                <w:sz w:val="18"/>
                <w:szCs w:val="18"/>
              </w:rPr>
            </w:pPr>
            <w:r w:rsidRPr="00FE29AA">
              <w:rPr>
                <w:color w:val="000000" w:themeColor="text1"/>
                <w:sz w:val="18"/>
                <w:szCs w:val="18"/>
              </w:rPr>
              <w:t>For Completion by referring practice:</w:t>
            </w:r>
          </w:p>
        </w:tc>
        <w:tc>
          <w:tcPr>
            <w:tcW w:w="4317" w:type="dxa"/>
            <w:gridSpan w:val="2"/>
            <w:shd w:val="clear" w:color="auto" w:fill="E5DFEC" w:themeFill="accent4" w:themeFillTint="33"/>
          </w:tcPr>
          <w:p w:rsidR="00072750" w:rsidRPr="00FE29AA" w:rsidRDefault="00072750" w:rsidP="00B05260">
            <w:pPr>
              <w:rPr>
                <w:color w:val="000000" w:themeColor="text1"/>
                <w:sz w:val="18"/>
                <w:szCs w:val="18"/>
              </w:rPr>
            </w:pPr>
          </w:p>
          <w:p w:rsidR="00414890" w:rsidRPr="00FE29AA" w:rsidRDefault="00414890" w:rsidP="00B05260">
            <w:pPr>
              <w:rPr>
                <w:color w:val="000000" w:themeColor="text1"/>
                <w:sz w:val="18"/>
                <w:szCs w:val="18"/>
              </w:rPr>
            </w:pPr>
            <w:r w:rsidRPr="00FE29AA">
              <w:rPr>
                <w:color w:val="000000" w:themeColor="text1"/>
                <w:sz w:val="18"/>
                <w:szCs w:val="18"/>
              </w:rPr>
              <w:t>For Completion by CBCT Practice:</w:t>
            </w:r>
          </w:p>
        </w:tc>
      </w:tr>
      <w:tr w:rsidR="00414890" w:rsidTr="005B09D2">
        <w:trPr>
          <w:trHeight w:val="378"/>
        </w:trPr>
        <w:tc>
          <w:tcPr>
            <w:tcW w:w="1566" w:type="dxa"/>
            <w:vMerge w:val="restart"/>
          </w:tcPr>
          <w:p w:rsidR="00414890" w:rsidRPr="00FE29AA" w:rsidRDefault="00414890" w:rsidP="00B05260">
            <w:pPr>
              <w:rPr>
                <w:color w:val="000000" w:themeColor="text1"/>
                <w:sz w:val="18"/>
                <w:szCs w:val="18"/>
              </w:rPr>
            </w:pPr>
            <w:r w:rsidRPr="00FE29AA">
              <w:rPr>
                <w:color w:val="000000" w:themeColor="text1"/>
                <w:sz w:val="18"/>
                <w:szCs w:val="18"/>
              </w:rPr>
              <w:t>Name(s):</w:t>
            </w:r>
          </w:p>
          <w:p w:rsidR="00414890" w:rsidRPr="00FE29AA" w:rsidRDefault="00414890" w:rsidP="00B05260">
            <w:pPr>
              <w:rPr>
                <w:color w:val="000000" w:themeColor="text1"/>
                <w:sz w:val="18"/>
                <w:szCs w:val="18"/>
              </w:rPr>
            </w:pPr>
          </w:p>
        </w:tc>
        <w:tc>
          <w:tcPr>
            <w:tcW w:w="1587" w:type="dxa"/>
            <w:vMerge w:val="restart"/>
          </w:tcPr>
          <w:p w:rsidR="00414890" w:rsidRPr="00FE29AA" w:rsidRDefault="00414890">
            <w:pPr>
              <w:rPr>
                <w:color w:val="000000" w:themeColor="text1"/>
                <w:sz w:val="18"/>
                <w:szCs w:val="18"/>
              </w:rPr>
            </w:pPr>
            <w:r w:rsidRPr="00FE29AA">
              <w:rPr>
                <w:color w:val="000000" w:themeColor="text1"/>
                <w:sz w:val="18"/>
                <w:szCs w:val="18"/>
              </w:rPr>
              <w:t xml:space="preserve">GDC/GMC </w:t>
            </w:r>
            <w:proofErr w:type="spellStart"/>
            <w:r w:rsidRPr="00FE29AA">
              <w:rPr>
                <w:color w:val="000000" w:themeColor="text1"/>
                <w:sz w:val="18"/>
                <w:szCs w:val="18"/>
              </w:rPr>
              <w:t>Reg</w:t>
            </w:r>
            <w:proofErr w:type="spellEnd"/>
            <w:r w:rsidRPr="00FE29AA">
              <w:rPr>
                <w:color w:val="000000" w:themeColor="text1"/>
                <w:sz w:val="18"/>
                <w:szCs w:val="18"/>
              </w:rPr>
              <w:t xml:space="preserve"> No.</w:t>
            </w:r>
          </w:p>
          <w:p w:rsidR="00414890" w:rsidRPr="00FE29AA" w:rsidRDefault="00414890">
            <w:pPr>
              <w:rPr>
                <w:color w:val="000000" w:themeColor="text1"/>
                <w:sz w:val="18"/>
                <w:szCs w:val="18"/>
              </w:rPr>
            </w:pPr>
          </w:p>
          <w:p w:rsidR="00414890" w:rsidRPr="00FE29AA" w:rsidRDefault="00414890" w:rsidP="00414890">
            <w:pPr>
              <w:rPr>
                <w:color w:val="000000" w:themeColor="text1"/>
                <w:sz w:val="18"/>
                <w:szCs w:val="18"/>
              </w:rPr>
            </w:pPr>
          </w:p>
        </w:tc>
        <w:tc>
          <w:tcPr>
            <w:tcW w:w="1886" w:type="dxa"/>
            <w:gridSpan w:val="2"/>
          </w:tcPr>
          <w:p w:rsidR="00414890" w:rsidRPr="00FE29AA" w:rsidRDefault="00414890" w:rsidP="00B05260">
            <w:pPr>
              <w:rPr>
                <w:color w:val="000000" w:themeColor="text1"/>
                <w:sz w:val="18"/>
                <w:szCs w:val="18"/>
              </w:rPr>
            </w:pPr>
            <w:r w:rsidRPr="00FE29AA">
              <w:rPr>
                <w:color w:val="000000" w:themeColor="text1"/>
                <w:sz w:val="18"/>
                <w:szCs w:val="18"/>
              </w:rPr>
              <w:t>IRMER Roles (tick)</w:t>
            </w:r>
          </w:p>
        </w:tc>
        <w:tc>
          <w:tcPr>
            <w:tcW w:w="2147" w:type="dxa"/>
            <w:shd w:val="clear" w:color="auto" w:fill="E5DFEC" w:themeFill="accent4" w:themeFillTint="33"/>
          </w:tcPr>
          <w:p w:rsidR="00414890" w:rsidRPr="00FE29AA" w:rsidRDefault="00414890" w:rsidP="00B05260">
            <w:pPr>
              <w:rPr>
                <w:color w:val="000000" w:themeColor="text1"/>
                <w:sz w:val="18"/>
                <w:szCs w:val="18"/>
              </w:rPr>
            </w:pPr>
            <w:r w:rsidRPr="00FE29AA">
              <w:rPr>
                <w:color w:val="000000" w:themeColor="text1"/>
                <w:sz w:val="18"/>
                <w:szCs w:val="18"/>
              </w:rPr>
              <w:t>Training OK?</w:t>
            </w:r>
          </w:p>
        </w:tc>
        <w:tc>
          <w:tcPr>
            <w:tcW w:w="2170" w:type="dxa"/>
            <w:shd w:val="clear" w:color="auto" w:fill="E5DFEC" w:themeFill="accent4" w:themeFillTint="33"/>
          </w:tcPr>
          <w:p w:rsidR="00414890" w:rsidRPr="00FE29AA" w:rsidRDefault="00414890" w:rsidP="00B05260">
            <w:pPr>
              <w:rPr>
                <w:color w:val="000000" w:themeColor="text1"/>
                <w:sz w:val="18"/>
                <w:szCs w:val="18"/>
              </w:rPr>
            </w:pPr>
            <w:r w:rsidRPr="00FE29AA">
              <w:rPr>
                <w:color w:val="000000" w:themeColor="text1"/>
                <w:sz w:val="18"/>
                <w:szCs w:val="18"/>
              </w:rPr>
              <w:t>Registration OK?</w:t>
            </w:r>
          </w:p>
        </w:tc>
      </w:tr>
      <w:tr w:rsidR="00414890" w:rsidTr="005B09D2">
        <w:trPr>
          <w:trHeight w:val="393"/>
        </w:trPr>
        <w:tc>
          <w:tcPr>
            <w:tcW w:w="1566" w:type="dxa"/>
            <w:vMerge/>
          </w:tcPr>
          <w:p w:rsidR="00414890" w:rsidRPr="00FE29AA" w:rsidRDefault="00414890" w:rsidP="00B05260">
            <w:pPr>
              <w:rPr>
                <w:color w:val="000000" w:themeColor="text1"/>
                <w:sz w:val="18"/>
                <w:szCs w:val="18"/>
              </w:rPr>
            </w:pPr>
          </w:p>
        </w:tc>
        <w:tc>
          <w:tcPr>
            <w:tcW w:w="1587" w:type="dxa"/>
            <w:vMerge/>
          </w:tcPr>
          <w:p w:rsidR="00414890" w:rsidRPr="00FE29AA" w:rsidRDefault="00414890" w:rsidP="00B05260">
            <w:pPr>
              <w:rPr>
                <w:color w:val="000000" w:themeColor="text1"/>
                <w:sz w:val="18"/>
                <w:szCs w:val="18"/>
              </w:rPr>
            </w:pPr>
          </w:p>
        </w:tc>
        <w:tc>
          <w:tcPr>
            <w:tcW w:w="862" w:type="dxa"/>
          </w:tcPr>
          <w:p w:rsidR="00414890" w:rsidRPr="00FE29AA" w:rsidRDefault="00414890" w:rsidP="00B05260">
            <w:pPr>
              <w:rPr>
                <w:color w:val="000000" w:themeColor="text1"/>
                <w:sz w:val="18"/>
                <w:szCs w:val="18"/>
              </w:rPr>
            </w:pPr>
            <w:r w:rsidRPr="00FE29AA">
              <w:rPr>
                <w:color w:val="000000" w:themeColor="text1"/>
                <w:sz w:val="18"/>
                <w:szCs w:val="18"/>
              </w:rPr>
              <w:t>Referrer</w:t>
            </w:r>
          </w:p>
        </w:tc>
        <w:tc>
          <w:tcPr>
            <w:tcW w:w="1024" w:type="dxa"/>
          </w:tcPr>
          <w:p w:rsidR="00414890" w:rsidRPr="00FE29AA" w:rsidRDefault="00414890" w:rsidP="00B05260">
            <w:pPr>
              <w:rPr>
                <w:color w:val="000000" w:themeColor="text1"/>
                <w:sz w:val="18"/>
                <w:szCs w:val="18"/>
              </w:rPr>
            </w:pPr>
            <w:r w:rsidRPr="00FE29AA">
              <w:rPr>
                <w:color w:val="000000" w:themeColor="text1"/>
                <w:sz w:val="18"/>
                <w:szCs w:val="18"/>
              </w:rPr>
              <w:t>Operator</w:t>
            </w:r>
          </w:p>
          <w:p w:rsidR="00414890" w:rsidRPr="00FE29AA" w:rsidRDefault="00414890" w:rsidP="00B05260">
            <w:pPr>
              <w:rPr>
                <w:color w:val="000000" w:themeColor="text1"/>
                <w:sz w:val="18"/>
                <w:szCs w:val="18"/>
              </w:rPr>
            </w:pPr>
            <w:r w:rsidRPr="00FE29AA">
              <w:rPr>
                <w:color w:val="000000" w:themeColor="text1"/>
                <w:sz w:val="18"/>
                <w:szCs w:val="18"/>
              </w:rPr>
              <w:t>(reporting)</w:t>
            </w:r>
          </w:p>
        </w:tc>
        <w:tc>
          <w:tcPr>
            <w:tcW w:w="2147" w:type="dxa"/>
            <w:shd w:val="clear" w:color="auto" w:fill="E5DFEC" w:themeFill="accent4" w:themeFillTint="33"/>
          </w:tcPr>
          <w:p w:rsidR="00414890" w:rsidRPr="00FE29AA" w:rsidRDefault="00414890" w:rsidP="00B05260">
            <w:pPr>
              <w:rPr>
                <w:color w:val="000000" w:themeColor="text1"/>
                <w:sz w:val="18"/>
                <w:szCs w:val="18"/>
              </w:rPr>
            </w:pPr>
          </w:p>
        </w:tc>
        <w:tc>
          <w:tcPr>
            <w:tcW w:w="2170" w:type="dxa"/>
            <w:shd w:val="clear" w:color="auto" w:fill="E5DFEC" w:themeFill="accent4" w:themeFillTint="33"/>
          </w:tcPr>
          <w:p w:rsidR="00414890" w:rsidRPr="00FE29AA" w:rsidRDefault="00414890" w:rsidP="00B05260">
            <w:pPr>
              <w:rPr>
                <w:color w:val="000000" w:themeColor="text1"/>
                <w:sz w:val="18"/>
                <w:szCs w:val="18"/>
              </w:rPr>
            </w:pPr>
          </w:p>
        </w:tc>
      </w:tr>
      <w:tr w:rsidR="00414890" w:rsidTr="005B09D2">
        <w:trPr>
          <w:trHeight w:val="524"/>
        </w:trPr>
        <w:tc>
          <w:tcPr>
            <w:tcW w:w="1566" w:type="dxa"/>
          </w:tcPr>
          <w:p w:rsidR="00414890" w:rsidRDefault="00414890" w:rsidP="00B05260">
            <w:pPr>
              <w:rPr>
                <w:color w:val="000000" w:themeColor="text1"/>
              </w:rPr>
            </w:pPr>
          </w:p>
          <w:p w:rsidR="00414890" w:rsidRDefault="00414890" w:rsidP="00B05260">
            <w:pPr>
              <w:rPr>
                <w:color w:val="000000" w:themeColor="text1"/>
              </w:rPr>
            </w:pPr>
          </w:p>
        </w:tc>
        <w:tc>
          <w:tcPr>
            <w:tcW w:w="1587" w:type="dxa"/>
          </w:tcPr>
          <w:p w:rsidR="00414890" w:rsidRDefault="00414890">
            <w:pPr>
              <w:rPr>
                <w:color w:val="000000" w:themeColor="text1"/>
              </w:rPr>
            </w:pPr>
          </w:p>
          <w:p w:rsidR="00414890" w:rsidRDefault="00414890" w:rsidP="00414890">
            <w:pPr>
              <w:rPr>
                <w:color w:val="000000" w:themeColor="text1"/>
              </w:rPr>
            </w:pPr>
          </w:p>
        </w:tc>
        <w:tc>
          <w:tcPr>
            <w:tcW w:w="1886" w:type="dxa"/>
            <w:gridSpan w:val="2"/>
          </w:tcPr>
          <w:p w:rsidR="00414890" w:rsidRDefault="00414890" w:rsidP="00B05260">
            <w:pPr>
              <w:rPr>
                <w:color w:val="000000" w:themeColor="text1"/>
              </w:rPr>
            </w:pPr>
          </w:p>
        </w:tc>
        <w:tc>
          <w:tcPr>
            <w:tcW w:w="2147" w:type="dxa"/>
            <w:shd w:val="clear" w:color="auto" w:fill="E5DFEC" w:themeFill="accent4" w:themeFillTint="33"/>
          </w:tcPr>
          <w:p w:rsidR="00414890" w:rsidRDefault="00414890" w:rsidP="00B05260">
            <w:pPr>
              <w:rPr>
                <w:color w:val="000000" w:themeColor="text1"/>
              </w:rPr>
            </w:pPr>
          </w:p>
        </w:tc>
        <w:tc>
          <w:tcPr>
            <w:tcW w:w="2170" w:type="dxa"/>
            <w:shd w:val="clear" w:color="auto" w:fill="E5DFEC" w:themeFill="accent4" w:themeFillTint="33"/>
          </w:tcPr>
          <w:p w:rsidR="00414890" w:rsidRDefault="00414890" w:rsidP="00B05260">
            <w:pPr>
              <w:rPr>
                <w:color w:val="000000" w:themeColor="text1"/>
              </w:rPr>
            </w:pPr>
          </w:p>
        </w:tc>
      </w:tr>
      <w:tr w:rsidR="00414890" w:rsidTr="005B09D2">
        <w:trPr>
          <w:trHeight w:val="509"/>
        </w:trPr>
        <w:tc>
          <w:tcPr>
            <w:tcW w:w="1566" w:type="dxa"/>
          </w:tcPr>
          <w:p w:rsidR="00414890" w:rsidRDefault="00414890" w:rsidP="00B05260">
            <w:pPr>
              <w:rPr>
                <w:color w:val="000000" w:themeColor="text1"/>
              </w:rPr>
            </w:pPr>
          </w:p>
          <w:p w:rsidR="00414890" w:rsidRDefault="00414890" w:rsidP="00B05260">
            <w:pPr>
              <w:rPr>
                <w:color w:val="000000" w:themeColor="text1"/>
              </w:rPr>
            </w:pPr>
          </w:p>
        </w:tc>
        <w:tc>
          <w:tcPr>
            <w:tcW w:w="1587" w:type="dxa"/>
          </w:tcPr>
          <w:p w:rsidR="00414890" w:rsidRDefault="00414890">
            <w:pPr>
              <w:rPr>
                <w:color w:val="000000" w:themeColor="text1"/>
              </w:rPr>
            </w:pPr>
          </w:p>
          <w:p w:rsidR="00414890" w:rsidRDefault="00414890" w:rsidP="00414890">
            <w:pPr>
              <w:rPr>
                <w:color w:val="000000" w:themeColor="text1"/>
              </w:rPr>
            </w:pPr>
          </w:p>
        </w:tc>
        <w:tc>
          <w:tcPr>
            <w:tcW w:w="1886" w:type="dxa"/>
            <w:gridSpan w:val="2"/>
          </w:tcPr>
          <w:p w:rsidR="00414890" w:rsidRDefault="00414890" w:rsidP="00B05260">
            <w:pPr>
              <w:rPr>
                <w:color w:val="000000" w:themeColor="text1"/>
              </w:rPr>
            </w:pPr>
          </w:p>
        </w:tc>
        <w:tc>
          <w:tcPr>
            <w:tcW w:w="2147" w:type="dxa"/>
            <w:shd w:val="clear" w:color="auto" w:fill="E5DFEC" w:themeFill="accent4" w:themeFillTint="33"/>
          </w:tcPr>
          <w:p w:rsidR="00414890" w:rsidRDefault="00414890" w:rsidP="00B05260">
            <w:pPr>
              <w:rPr>
                <w:color w:val="000000" w:themeColor="text1"/>
              </w:rPr>
            </w:pPr>
          </w:p>
        </w:tc>
        <w:tc>
          <w:tcPr>
            <w:tcW w:w="2170" w:type="dxa"/>
            <w:shd w:val="clear" w:color="auto" w:fill="E5DFEC" w:themeFill="accent4" w:themeFillTint="33"/>
          </w:tcPr>
          <w:p w:rsidR="00414890" w:rsidRDefault="00414890" w:rsidP="00B05260">
            <w:pPr>
              <w:rPr>
                <w:color w:val="000000" w:themeColor="text1"/>
              </w:rPr>
            </w:pPr>
          </w:p>
        </w:tc>
      </w:tr>
      <w:tr w:rsidR="00414890" w:rsidTr="005B09D2">
        <w:trPr>
          <w:trHeight w:val="298"/>
        </w:trPr>
        <w:tc>
          <w:tcPr>
            <w:tcW w:w="1566" w:type="dxa"/>
          </w:tcPr>
          <w:p w:rsidR="00414890" w:rsidRDefault="00414890" w:rsidP="00B05260">
            <w:pPr>
              <w:rPr>
                <w:color w:val="000000" w:themeColor="text1"/>
              </w:rPr>
            </w:pPr>
          </w:p>
          <w:p w:rsidR="00414890" w:rsidRDefault="00414890" w:rsidP="00B05260">
            <w:pPr>
              <w:rPr>
                <w:color w:val="000000" w:themeColor="text1"/>
              </w:rPr>
            </w:pPr>
          </w:p>
        </w:tc>
        <w:tc>
          <w:tcPr>
            <w:tcW w:w="1587" w:type="dxa"/>
          </w:tcPr>
          <w:p w:rsidR="00414890" w:rsidRDefault="00414890">
            <w:pPr>
              <w:rPr>
                <w:color w:val="000000" w:themeColor="text1"/>
              </w:rPr>
            </w:pPr>
          </w:p>
          <w:p w:rsidR="00414890" w:rsidRDefault="00414890" w:rsidP="00414890">
            <w:pPr>
              <w:rPr>
                <w:color w:val="000000" w:themeColor="text1"/>
              </w:rPr>
            </w:pPr>
          </w:p>
        </w:tc>
        <w:tc>
          <w:tcPr>
            <w:tcW w:w="1886" w:type="dxa"/>
            <w:gridSpan w:val="2"/>
          </w:tcPr>
          <w:p w:rsidR="00414890" w:rsidRDefault="00414890" w:rsidP="00B05260">
            <w:pPr>
              <w:rPr>
                <w:color w:val="000000" w:themeColor="text1"/>
              </w:rPr>
            </w:pPr>
          </w:p>
        </w:tc>
        <w:tc>
          <w:tcPr>
            <w:tcW w:w="2147" w:type="dxa"/>
            <w:shd w:val="clear" w:color="auto" w:fill="E5DFEC" w:themeFill="accent4" w:themeFillTint="33"/>
          </w:tcPr>
          <w:p w:rsidR="00414890" w:rsidRDefault="00414890" w:rsidP="00B05260">
            <w:pPr>
              <w:rPr>
                <w:color w:val="000000" w:themeColor="text1"/>
              </w:rPr>
            </w:pPr>
          </w:p>
        </w:tc>
        <w:tc>
          <w:tcPr>
            <w:tcW w:w="2170" w:type="dxa"/>
            <w:shd w:val="clear" w:color="auto" w:fill="E5DFEC" w:themeFill="accent4" w:themeFillTint="33"/>
          </w:tcPr>
          <w:p w:rsidR="00414890" w:rsidRDefault="00414890" w:rsidP="00B05260">
            <w:pPr>
              <w:rPr>
                <w:color w:val="000000" w:themeColor="text1"/>
              </w:rPr>
            </w:pPr>
          </w:p>
        </w:tc>
      </w:tr>
    </w:tbl>
    <w:p w:rsidR="00414890" w:rsidRPr="00FE29AA" w:rsidRDefault="00F77514" w:rsidP="00FE29AA">
      <w:pPr>
        <w:spacing w:after="0"/>
        <w:rPr>
          <w:color w:val="000000" w:themeColor="text1"/>
          <w:sz w:val="20"/>
          <w:szCs w:val="20"/>
        </w:rPr>
      </w:pPr>
      <w:r>
        <w:rPr>
          <w:noProof/>
          <w:color w:val="000000" w:themeColor="text1"/>
          <w:sz w:val="20"/>
          <w:szCs w:val="20"/>
          <w:lang w:eastAsia="en-GB"/>
        </w:rPr>
        <w:pict>
          <v:rect id="_x0000_s1029" style="position:absolute;margin-left:-8.25pt;margin-top:.1pt;width:469.5pt;height:198.75pt;z-index:-251655168;mso-position-horizontal-relative:text;mso-position-vertical-relative:text" strokeweight="3pt"/>
        </w:pict>
      </w:r>
      <w:r w:rsidR="00414890" w:rsidRPr="00FE29AA">
        <w:rPr>
          <w:color w:val="000000" w:themeColor="text1"/>
          <w:sz w:val="20"/>
          <w:szCs w:val="20"/>
        </w:rPr>
        <w:t>Signatures of agreement:</w:t>
      </w:r>
    </w:p>
    <w:p w:rsidR="00414890" w:rsidRPr="00FE29AA" w:rsidRDefault="00414890" w:rsidP="00FE29AA">
      <w:pPr>
        <w:spacing w:after="0"/>
        <w:rPr>
          <w:color w:val="000000" w:themeColor="text1"/>
          <w:sz w:val="20"/>
          <w:szCs w:val="20"/>
        </w:rPr>
      </w:pPr>
      <w:r w:rsidRPr="00FE29AA">
        <w:rPr>
          <w:color w:val="000000" w:themeColor="text1"/>
          <w:sz w:val="20"/>
          <w:szCs w:val="20"/>
        </w:rPr>
        <w:t xml:space="preserve">We the undersigned agree: (1) to use the referral criteria stated above; (2) that evidence of adequate training has </w:t>
      </w:r>
      <w:r w:rsidR="00FE29AA" w:rsidRPr="00FE29AA">
        <w:rPr>
          <w:color w:val="000000" w:themeColor="text1"/>
          <w:sz w:val="20"/>
          <w:szCs w:val="20"/>
        </w:rPr>
        <w:t xml:space="preserve">been provided for each of the persons named above appropriate to their IRMER roles; (3) that adequate information will accompany each referred patient to allow the justification process to </w:t>
      </w:r>
      <w:proofErr w:type="gramStart"/>
      <w:r w:rsidR="00FE29AA" w:rsidRPr="00FE29AA">
        <w:rPr>
          <w:color w:val="000000" w:themeColor="text1"/>
          <w:sz w:val="20"/>
          <w:szCs w:val="20"/>
        </w:rPr>
        <w:t>proceed</w:t>
      </w:r>
      <w:proofErr w:type="gramEnd"/>
      <w:r w:rsidR="00FE29AA" w:rsidRPr="00FE29AA">
        <w:rPr>
          <w:color w:val="000000" w:themeColor="text1"/>
          <w:sz w:val="20"/>
          <w:szCs w:val="20"/>
        </w:rPr>
        <w:t>, as set out in the attached Standard Referral Form.</w:t>
      </w:r>
    </w:p>
    <w:p w:rsidR="00FE29AA" w:rsidRPr="00FE29AA" w:rsidRDefault="00FE29AA" w:rsidP="00FE29AA">
      <w:pPr>
        <w:spacing w:after="0"/>
        <w:rPr>
          <w:color w:val="000000" w:themeColor="text1"/>
          <w:sz w:val="20"/>
          <w:szCs w:val="20"/>
        </w:rPr>
      </w:pPr>
      <w:r w:rsidRPr="00FE29AA">
        <w:rPr>
          <w:color w:val="000000" w:themeColor="text1"/>
          <w:sz w:val="20"/>
          <w:szCs w:val="20"/>
        </w:rPr>
        <w:t>For the CBCT practice:</w:t>
      </w:r>
      <w:r w:rsidRPr="00FE29AA">
        <w:rPr>
          <w:color w:val="000000" w:themeColor="text1"/>
          <w:sz w:val="20"/>
          <w:szCs w:val="20"/>
        </w:rPr>
        <w:tab/>
      </w:r>
      <w:r w:rsidRPr="00FE29AA">
        <w:rPr>
          <w:color w:val="000000" w:themeColor="text1"/>
          <w:sz w:val="20"/>
          <w:szCs w:val="20"/>
        </w:rPr>
        <w:tab/>
      </w:r>
      <w:r w:rsidRPr="00FE29AA">
        <w:rPr>
          <w:color w:val="000000" w:themeColor="text1"/>
          <w:sz w:val="20"/>
          <w:szCs w:val="20"/>
        </w:rPr>
        <w:tab/>
      </w:r>
      <w:r w:rsidRPr="00FE29AA">
        <w:rPr>
          <w:color w:val="000000" w:themeColor="text1"/>
          <w:sz w:val="20"/>
          <w:szCs w:val="20"/>
        </w:rPr>
        <w:tab/>
        <w:t>For the Referring practice:</w:t>
      </w:r>
    </w:p>
    <w:p w:rsidR="00FE29AA" w:rsidRPr="00FE29AA" w:rsidRDefault="00FE29AA" w:rsidP="00B05260">
      <w:pPr>
        <w:rPr>
          <w:color w:val="000000" w:themeColor="text1"/>
          <w:sz w:val="20"/>
          <w:szCs w:val="20"/>
        </w:rPr>
      </w:pPr>
      <w:r w:rsidRPr="00FE29AA">
        <w:rPr>
          <w:color w:val="000000" w:themeColor="text1"/>
          <w:sz w:val="20"/>
          <w:szCs w:val="20"/>
        </w:rPr>
        <w:t>Name of legal person*:</w:t>
      </w:r>
      <w:r w:rsidRPr="00FE29AA">
        <w:rPr>
          <w:color w:val="000000" w:themeColor="text1"/>
          <w:sz w:val="20"/>
          <w:szCs w:val="20"/>
        </w:rPr>
        <w:tab/>
      </w:r>
      <w:r w:rsidRPr="00FE29AA">
        <w:rPr>
          <w:color w:val="000000" w:themeColor="text1"/>
          <w:sz w:val="20"/>
          <w:szCs w:val="20"/>
        </w:rPr>
        <w:tab/>
      </w:r>
      <w:r w:rsidRPr="00FE29AA">
        <w:rPr>
          <w:color w:val="000000" w:themeColor="text1"/>
          <w:sz w:val="20"/>
          <w:szCs w:val="20"/>
        </w:rPr>
        <w:tab/>
      </w:r>
      <w:r w:rsidRPr="00FE29AA">
        <w:rPr>
          <w:color w:val="000000" w:themeColor="text1"/>
          <w:sz w:val="20"/>
          <w:szCs w:val="20"/>
        </w:rPr>
        <w:tab/>
        <w:t>Name of legal person*:</w:t>
      </w:r>
    </w:p>
    <w:p w:rsidR="00FE29AA" w:rsidRPr="00FE29AA" w:rsidRDefault="00FE29AA" w:rsidP="00B05260">
      <w:pPr>
        <w:rPr>
          <w:color w:val="000000" w:themeColor="text1"/>
          <w:sz w:val="20"/>
          <w:szCs w:val="20"/>
        </w:rPr>
      </w:pPr>
      <w:r w:rsidRPr="00FE29AA">
        <w:rPr>
          <w:color w:val="000000" w:themeColor="text1"/>
          <w:sz w:val="20"/>
          <w:szCs w:val="20"/>
        </w:rPr>
        <w:t>Signature:</w:t>
      </w:r>
      <w:r w:rsidRPr="00FE29AA">
        <w:rPr>
          <w:color w:val="000000" w:themeColor="text1"/>
          <w:sz w:val="20"/>
          <w:szCs w:val="20"/>
        </w:rPr>
        <w:tab/>
      </w:r>
      <w:r w:rsidRPr="00FE29AA">
        <w:rPr>
          <w:color w:val="000000" w:themeColor="text1"/>
          <w:sz w:val="20"/>
          <w:szCs w:val="20"/>
        </w:rPr>
        <w:tab/>
      </w:r>
      <w:r w:rsidRPr="00FE29AA">
        <w:rPr>
          <w:color w:val="000000" w:themeColor="text1"/>
          <w:sz w:val="20"/>
          <w:szCs w:val="20"/>
        </w:rPr>
        <w:tab/>
      </w:r>
      <w:r w:rsidRPr="00FE29AA">
        <w:rPr>
          <w:color w:val="000000" w:themeColor="text1"/>
          <w:sz w:val="20"/>
          <w:szCs w:val="20"/>
        </w:rPr>
        <w:tab/>
      </w:r>
      <w:r w:rsidRPr="00FE29AA">
        <w:rPr>
          <w:color w:val="000000" w:themeColor="text1"/>
          <w:sz w:val="20"/>
          <w:szCs w:val="20"/>
        </w:rPr>
        <w:tab/>
        <w:t>Signature:</w:t>
      </w:r>
    </w:p>
    <w:p w:rsidR="00FE29AA" w:rsidRDefault="00FE29AA" w:rsidP="00B05260">
      <w:pPr>
        <w:rPr>
          <w:color w:val="000000" w:themeColor="text1"/>
        </w:rPr>
      </w:pPr>
      <w:r>
        <w:rPr>
          <w:color w:val="000000" w:themeColor="text1"/>
        </w:rPr>
        <w:t>Date:</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Date:</w:t>
      </w:r>
    </w:p>
    <w:p w:rsidR="00FE29AA" w:rsidRPr="00FE29AA" w:rsidRDefault="00FE29AA" w:rsidP="00B05260">
      <w:pPr>
        <w:rPr>
          <w:color w:val="000000" w:themeColor="text1"/>
          <w:sz w:val="16"/>
          <w:szCs w:val="16"/>
        </w:rPr>
      </w:pPr>
      <w:r w:rsidRPr="00FE29AA">
        <w:rPr>
          <w:color w:val="000000" w:themeColor="text1"/>
          <w:sz w:val="16"/>
          <w:szCs w:val="16"/>
        </w:rPr>
        <w:t>*The “legal person” is the person/body corporate that takes legal responsibility for the implementing the Ionising Radiations Regulation 1999 and the Ionising Radiation (Medical Exposure) Regulations 2000 within the practice.</w:t>
      </w:r>
    </w:p>
    <w:p w:rsidR="00B05260" w:rsidRDefault="00B05260"/>
    <w:p w:rsidR="00756601" w:rsidRDefault="00756601"/>
    <w:p w:rsidR="00756601" w:rsidRDefault="00756601" w:rsidP="00293228">
      <w:pPr>
        <w:jc w:val="center"/>
        <w:rPr>
          <w:b/>
          <w:color w:val="7030A0"/>
          <w:sz w:val="28"/>
          <w:szCs w:val="28"/>
        </w:rPr>
      </w:pPr>
      <w:r w:rsidRPr="00293228">
        <w:rPr>
          <w:b/>
          <w:color w:val="7030A0"/>
          <w:sz w:val="28"/>
          <w:szCs w:val="28"/>
        </w:rPr>
        <w:lastRenderedPageBreak/>
        <w:t xml:space="preserve">EADMFR Basic Principles for the Use of Dental CBCT </w:t>
      </w:r>
      <w:r w:rsidR="00293228" w:rsidRPr="00293228">
        <w:rPr>
          <w:b/>
          <w:color w:val="7030A0"/>
          <w:sz w:val="28"/>
          <w:szCs w:val="28"/>
        </w:rPr>
        <w:t>– Sections Relevant to Referral/Justification</w:t>
      </w:r>
    </w:p>
    <w:p w:rsidR="00936A18" w:rsidRPr="00293228" w:rsidRDefault="00936A18" w:rsidP="00293228">
      <w:pPr>
        <w:jc w:val="center"/>
        <w:rPr>
          <w:b/>
          <w:color w:val="7030A0"/>
          <w:sz w:val="28"/>
          <w:szCs w:val="28"/>
        </w:rPr>
      </w:pPr>
    </w:p>
    <w:p w:rsidR="00293228" w:rsidRPr="005D5771" w:rsidRDefault="00293228">
      <w:pPr>
        <w:rPr>
          <w:b/>
          <w:color w:val="7030A0"/>
        </w:rPr>
      </w:pPr>
      <w:r w:rsidRPr="005D5771">
        <w:rPr>
          <w:b/>
          <w:color w:val="7030A0"/>
        </w:rPr>
        <w:t xml:space="preserve">The following text is extracted </w:t>
      </w:r>
      <w:r w:rsidR="0028107F" w:rsidRPr="005D5771">
        <w:rPr>
          <w:b/>
          <w:color w:val="7030A0"/>
        </w:rPr>
        <w:t>from</w:t>
      </w:r>
      <w:r w:rsidRPr="005D5771">
        <w:rPr>
          <w:b/>
          <w:color w:val="7030A0"/>
        </w:rPr>
        <w:t xml:space="preserve"> the Basic Principles for Use of Dental Cone Beam CT: Consensus Guidelines of the European Academy of Dental and Maxillofacial Radiology (EADMFR)</w:t>
      </w:r>
    </w:p>
    <w:p w:rsidR="00293228" w:rsidRDefault="00293228"/>
    <w:p w:rsidR="00293228" w:rsidRDefault="00293228">
      <w:r>
        <w:t xml:space="preserve">This is an abridged form of the Basic Principles, which together with the </w:t>
      </w:r>
      <w:r w:rsidR="0028107F">
        <w:t>Provisional</w:t>
      </w:r>
      <w:r>
        <w:t xml:space="preserve"> Guidelines, are intended to provide interim guidance on referral criteria relevant to dental CBCT examinations. For more detailed information on this subject readers are strongly recommended to refer to the full </w:t>
      </w:r>
      <w:r w:rsidR="0028107F">
        <w:t>version</w:t>
      </w:r>
      <w:r>
        <w:t xml:space="preserve"> of the Provisional Guidelines which are available for free download from the homepage of the SEDENTEXCT website (see </w:t>
      </w:r>
      <w:hyperlink r:id="rId7" w:history="1">
        <w:r w:rsidRPr="00550EED">
          <w:rPr>
            <w:rStyle w:val="Hyperlink"/>
          </w:rPr>
          <w:t>http://www.sedentexct.eu/</w:t>
        </w:r>
      </w:hyperlink>
      <w:r>
        <w:t>).</w:t>
      </w:r>
    </w:p>
    <w:p w:rsidR="0028107F" w:rsidRDefault="0028107F"/>
    <w:p w:rsidR="00293228" w:rsidRPr="00E85CFA" w:rsidRDefault="00293228">
      <w:pPr>
        <w:rPr>
          <w:b/>
          <w:color w:val="7030A0"/>
          <w:u w:val="single"/>
        </w:rPr>
      </w:pPr>
      <w:r w:rsidRPr="00E85CFA">
        <w:rPr>
          <w:b/>
          <w:color w:val="7030A0"/>
          <w:u w:val="single"/>
        </w:rPr>
        <w:t>Summary of SEDENTEXCT Basic Principles relevant to Referral/Justification</w:t>
      </w:r>
    </w:p>
    <w:p w:rsidR="0028107F" w:rsidRDefault="0028107F"/>
    <w:p w:rsidR="00293228" w:rsidRDefault="00293228" w:rsidP="00293228">
      <w:pPr>
        <w:pStyle w:val="ListParagraph"/>
        <w:numPr>
          <w:ilvl w:val="0"/>
          <w:numId w:val="1"/>
        </w:numPr>
      </w:pPr>
      <w:r>
        <w:t>Dental CBCT examinations must not be carried out unless a history and clinical examination have been performed.</w:t>
      </w:r>
    </w:p>
    <w:p w:rsidR="00293228" w:rsidRDefault="00293228" w:rsidP="00293228">
      <w:pPr>
        <w:pStyle w:val="ListParagraph"/>
        <w:numPr>
          <w:ilvl w:val="0"/>
          <w:numId w:val="1"/>
        </w:numPr>
      </w:pPr>
      <w:r>
        <w:t xml:space="preserve">Dental CBCT examinations must be justified for each patient to demonstrate that the </w:t>
      </w:r>
      <w:r w:rsidR="0028107F">
        <w:t>benefits</w:t>
      </w:r>
      <w:r>
        <w:t xml:space="preserve"> outweigh the risks.</w:t>
      </w:r>
    </w:p>
    <w:p w:rsidR="00293228" w:rsidRDefault="00293228" w:rsidP="00293228">
      <w:pPr>
        <w:pStyle w:val="ListParagraph"/>
        <w:numPr>
          <w:ilvl w:val="0"/>
          <w:numId w:val="1"/>
        </w:numPr>
      </w:pPr>
      <w:r>
        <w:t xml:space="preserve">Dental CBCT examinations should potentially add new </w:t>
      </w:r>
      <w:r w:rsidR="0028107F">
        <w:t>information to</w:t>
      </w:r>
      <w:r>
        <w:t xml:space="preserve"> aid the patient’s management.</w:t>
      </w:r>
    </w:p>
    <w:p w:rsidR="00293228" w:rsidRDefault="00293228" w:rsidP="00293228">
      <w:pPr>
        <w:pStyle w:val="ListParagraph"/>
        <w:numPr>
          <w:ilvl w:val="0"/>
          <w:numId w:val="1"/>
        </w:numPr>
      </w:pPr>
      <w:r>
        <w:t xml:space="preserve">Dental CBCT should not be repeated ‘routinely’ </w:t>
      </w:r>
      <w:r w:rsidR="0028107F">
        <w:t>on a patient</w:t>
      </w:r>
      <w:r>
        <w:t xml:space="preserve"> without a new risk/benefit assessment having been performed.</w:t>
      </w:r>
    </w:p>
    <w:p w:rsidR="00293228" w:rsidRDefault="00293228" w:rsidP="00293228">
      <w:pPr>
        <w:pStyle w:val="ListParagraph"/>
        <w:numPr>
          <w:ilvl w:val="0"/>
          <w:numId w:val="1"/>
        </w:numPr>
      </w:pPr>
      <w:r>
        <w:t>When accepting referrals from the other dentists for CBCT examinations, the referring dentist must supply sufficient clinical information (results of history and examination) to allow the CBCT Practitioner (IRMER practitioner)</w:t>
      </w:r>
      <w:r w:rsidR="0028107F">
        <w:t xml:space="preserve"> to perform the Justification process.</w:t>
      </w:r>
    </w:p>
    <w:p w:rsidR="0028107F" w:rsidRDefault="0028107F" w:rsidP="00293228">
      <w:pPr>
        <w:pStyle w:val="ListParagraph"/>
        <w:numPr>
          <w:ilvl w:val="0"/>
          <w:numId w:val="1"/>
        </w:numPr>
      </w:pPr>
      <w:r>
        <w:t>Dental CBCT should only be used when the question for which imaging is required cannot be answered adequately by lower dose conventional (traditional) radiography.</w:t>
      </w:r>
    </w:p>
    <w:p w:rsidR="0028107F" w:rsidRPr="00293228" w:rsidRDefault="0028107F" w:rsidP="00293228">
      <w:pPr>
        <w:pStyle w:val="ListParagraph"/>
        <w:numPr>
          <w:ilvl w:val="0"/>
          <w:numId w:val="1"/>
        </w:numPr>
      </w:pPr>
      <w:r>
        <w:t>Where it is likely that evaluation of soft tissues will be required as part of the patient’s radiological assessment, the appropriate imaging should be conventional medical CT or MR, rather than dental CBCT,</w:t>
      </w:r>
    </w:p>
    <w:sectPr w:rsidR="0028107F" w:rsidRPr="00293228" w:rsidSect="00335CB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228" w:rsidRDefault="00293228" w:rsidP="00756601">
      <w:pPr>
        <w:spacing w:after="0" w:line="240" w:lineRule="auto"/>
      </w:pPr>
      <w:r>
        <w:separator/>
      </w:r>
    </w:p>
  </w:endnote>
  <w:endnote w:type="continuationSeparator" w:id="1">
    <w:p w:rsidR="00293228" w:rsidRDefault="00293228" w:rsidP="00756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228" w:rsidRDefault="00293228" w:rsidP="00756601">
      <w:pPr>
        <w:spacing w:after="0" w:line="240" w:lineRule="auto"/>
      </w:pPr>
      <w:r>
        <w:separator/>
      </w:r>
    </w:p>
  </w:footnote>
  <w:footnote w:type="continuationSeparator" w:id="1">
    <w:p w:rsidR="00293228" w:rsidRDefault="00293228" w:rsidP="007566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9560C"/>
    <w:multiLevelType w:val="hybridMultilevel"/>
    <w:tmpl w:val="B9185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B05260"/>
    <w:rsid w:val="00072750"/>
    <w:rsid w:val="0028107F"/>
    <w:rsid w:val="00293228"/>
    <w:rsid w:val="002A58EF"/>
    <w:rsid w:val="00335CBF"/>
    <w:rsid w:val="00414890"/>
    <w:rsid w:val="005B09D2"/>
    <w:rsid w:val="005D5771"/>
    <w:rsid w:val="00756601"/>
    <w:rsid w:val="007730FC"/>
    <w:rsid w:val="00876364"/>
    <w:rsid w:val="0090246E"/>
    <w:rsid w:val="00936A18"/>
    <w:rsid w:val="009F2D15"/>
    <w:rsid w:val="00A670D6"/>
    <w:rsid w:val="00AC0CCB"/>
    <w:rsid w:val="00B05260"/>
    <w:rsid w:val="00E85CFA"/>
    <w:rsid w:val="00F77514"/>
    <w:rsid w:val="00FE29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_x0000_s1027"/>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C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2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5660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56601"/>
  </w:style>
  <w:style w:type="paragraph" w:styleId="Footer">
    <w:name w:val="footer"/>
    <w:basedOn w:val="Normal"/>
    <w:link w:val="FooterChar"/>
    <w:uiPriority w:val="99"/>
    <w:semiHidden/>
    <w:unhideWhenUsed/>
    <w:rsid w:val="007566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56601"/>
  </w:style>
  <w:style w:type="character" w:styleId="Hyperlink">
    <w:name w:val="Hyperlink"/>
    <w:basedOn w:val="DefaultParagraphFont"/>
    <w:uiPriority w:val="99"/>
    <w:unhideWhenUsed/>
    <w:rsid w:val="00293228"/>
    <w:rPr>
      <w:color w:val="0000FF" w:themeColor="hyperlink"/>
      <w:u w:val="single"/>
    </w:rPr>
  </w:style>
  <w:style w:type="paragraph" w:styleId="ListParagraph">
    <w:name w:val="List Paragraph"/>
    <w:basedOn w:val="Normal"/>
    <w:uiPriority w:val="34"/>
    <w:qFormat/>
    <w:rsid w:val="002932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dentexct.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13</cp:revision>
  <dcterms:created xsi:type="dcterms:W3CDTF">2018-07-03T13:22:00Z</dcterms:created>
  <dcterms:modified xsi:type="dcterms:W3CDTF">2018-07-11T12:07:00Z</dcterms:modified>
</cp:coreProperties>
</file>